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670" w:rsidRPr="00131E49" w:rsidRDefault="00131E49" w:rsidP="0066195F">
      <w:pPr>
        <w:pStyle w:val="ab"/>
        <w:spacing w:before="240" w:after="240"/>
        <w:ind w:left="420"/>
      </w:pPr>
      <w:r w:rsidRPr="00131E49">
        <w:t>Supplementary</w:t>
      </w:r>
      <w:r w:rsidR="00F86670" w:rsidRPr="00131E49">
        <w:t xml:space="preserve"> Table 1. Gen</w:t>
      </w:r>
      <w:r w:rsidR="00322DFE">
        <w:t xml:space="preserve">etic variants </w:t>
      </w:r>
      <w:bookmarkStart w:id="0" w:name="_GoBack"/>
      <w:bookmarkEnd w:id="0"/>
      <w:r w:rsidR="00322DFE">
        <w:t>associated at (</w:t>
      </w:r>
      <w:r w:rsidR="00322DFE" w:rsidRPr="00322DFE">
        <w:rPr>
          <w:i/>
        </w:rPr>
        <w:t>p</w:t>
      </w:r>
      <w:r w:rsidR="00322DFE">
        <w:t xml:space="preserve"> </w:t>
      </w:r>
      <w:r w:rsidR="00F86670" w:rsidRPr="00131E49">
        <w:t xml:space="preserve">&lt; 5 </w:t>
      </w:r>
      <w:r w:rsidR="00322DFE" w:rsidRPr="00322DFE">
        <w:rPr>
          <w:rFonts w:eastAsia="宋体"/>
        </w:rPr>
        <w:t>×</w:t>
      </w:r>
      <w:r w:rsidR="00F86670" w:rsidRPr="00131E49">
        <w:t xml:space="preserve"> 10</w:t>
      </w:r>
      <w:r w:rsidR="00F86670" w:rsidRPr="00131E49">
        <w:rPr>
          <w:vertAlign w:val="superscript"/>
        </w:rPr>
        <w:t>-8</w:t>
      </w:r>
      <w:r w:rsidR="00F86670" w:rsidRPr="00131E49">
        <w:t>) with inverse normally transformed AMH levels in premenopausal women.</w:t>
      </w:r>
    </w:p>
    <w:tbl>
      <w:tblPr>
        <w:tblStyle w:val="a4"/>
        <w:tblW w:w="12016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418"/>
        <w:gridCol w:w="1276"/>
        <w:gridCol w:w="567"/>
        <w:gridCol w:w="567"/>
        <w:gridCol w:w="850"/>
        <w:gridCol w:w="1276"/>
        <w:gridCol w:w="1276"/>
        <w:gridCol w:w="1134"/>
        <w:gridCol w:w="1389"/>
      </w:tblGrid>
      <w:tr w:rsidR="00F86670" w:rsidRPr="00131E49" w:rsidTr="00337F2A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Locus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SNP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Chromosome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Base pair position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EA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OA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EAF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Imputation quality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Effect (SE)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rPr>
                <w:i/>
              </w:rPr>
              <w:t>p</w:t>
            </w:r>
            <w:r w:rsidRPr="00131E49">
              <w:t>-value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Percentage of variance in AMH explained</w:t>
            </w:r>
          </w:p>
        </w:tc>
      </w:tr>
      <w:tr w:rsidR="00F86670" w:rsidRPr="00131E49" w:rsidTr="00337F2A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  <w:rPr>
                <w:i/>
              </w:rPr>
            </w:pPr>
            <w:r w:rsidRPr="00131E49">
              <w:rPr>
                <w:i/>
              </w:rPr>
              <w:t>AMH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rs10417628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19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2251817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T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C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0.02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>0.83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6670" w:rsidRPr="00131E49" w:rsidRDefault="00322DFE" w:rsidP="0066195F">
            <w:pPr>
              <w:pStyle w:val="afc"/>
            </w:pPr>
            <w:r>
              <w:t>–</w:t>
            </w:r>
            <w:r w:rsidR="00F86670" w:rsidRPr="00131E49">
              <w:t>0.34 (0.05)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6670" w:rsidRPr="00131E49" w:rsidRDefault="00F86670" w:rsidP="0066195F">
            <w:pPr>
              <w:pStyle w:val="afc"/>
            </w:pPr>
            <w:r w:rsidRPr="00131E49">
              <w:t xml:space="preserve">1.2 </w:t>
            </w:r>
            <w:r w:rsidR="00A15C66">
              <w:t>×</w:t>
            </w:r>
            <w:r w:rsidRPr="00131E49">
              <w:t xml:space="preserve"> 10</w:t>
            </w:r>
            <w:r w:rsidRPr="00131E49">
              <w:rPr>
                <w:vertAlign w:val="superscript"/>
              </w:rPr>
              <w:t>-11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F86670" w:rsidRPr="00131E49" w:rsidRDefault="00A15C66" w:rsidP="0066195F">
            <w:pPr>
              <w:pStyle w:val="afc"/>
            </w:pPr>
            <w:r>
              <w:t>0.50</w:t>
            </w:r>
            <w:r w:rsidR="00F86670" w:rsidRPr="00131E49">
              <w:t>%</w:t>
            </w:r>
          </w:p>
        </w:tc>
      </w:tr>
      <w:tr w:rsidR="00F86670" w:rsidRPr="00131E49" w:rsidTr="00337F2A">
        <w:trPr>
          <w:jc w:val="center"/>
        </w:trPr>
        <w:tc>
          <w:tcPr>
            <w:tcW w:w="988" w:type="dxa"/>
          </w:tcPr>
          <w:p w:rsidR="00F86670" w:rsidRPr="00131E49" w:rsidRDefault="00F86670" w:rsidP="0066195F">
            <w:pPr>
              <w:pStyle w:val="afc"/>
              <w:rPr>
                <w:i/>
              </w:rPr>
            </w:pPr>
            <w:r w:rsidRPr="00131E49">
              <w:rPr>
                <w:i/>
              </w:rPr>
              <w:t>TEX41</w:t>
            </w:r>
          </w:p>
        </w:tc>
        <w:tc>
          <w:tcPr>
            <w:tcW w:w="1275" w:type="dxa"/>
          </w:tcPr>
          <w:p w:rsidR="00F86670" w:rsidRPr="00131E49" w:rsidRDefault="00F86670" w:rsidP="0066195F">
            <w:pPr>
              <w:pStyle w:val="afc"/>
            </w:pPr>
            <w:r w:rsidRPr="00131E49">
              <w:t>rs13009019</w:t>
            </w:r>
          </w:p>
        </w:tc>
        <w:tc>
          <w:tcPr>
            <w:tcW w:w="1418" w:type="dxa"/>
          </w:tcPr>
          <w:p w:rsidR="00F86670" w:rsidRPr="00131E49" w:rsidRDefault="00F86670" w:rsidP="0066195F">
            <w:pPr>
              <w:pStyle w:val="afc"/>
            </w:pPr>
            <w:r w:rsidRPr="00131E49">
              <w:t>2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145670572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A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G</w:t>
            </w:r>
          </w:p>
        </w:tc>
        <w:tc>
          <w:tcPr>
            <w:tcW w:w="850" w:type="dxa"/>
          </w:tcPr>
          <w:p w:rsidR="00F86670" w:rsidRPr="00131E49" w:rsidRDefault="00F86670" w:rsidP="0066195F">
            <w:pPr>
              <w:pStyle w:val="afc"/>
            </w:pPr>
            <w:r w:rsidRPr="00131E49">
              <w:t>0.69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0.95</w:t>
            </w:r>
          </w:p>
        </w:tc>
        <w:tc>
          <w:tcPr>
            <w:tcW w:w="1276" w:type="dxa"/>
          </w:tcPr>
          <w:p w:rsidR="00F86670" w:rsidRPr="00131E49" w:rsidRDefault="00322DFE" w:rsidP="0066195F">
            <w:pPr>
              <w:pStyle w:val="afc"/>
            </w:pPr>
            <w:r>
              <w:t>–</w:t>
            </w:r>
            <w:r w:rsidR="00F86670" w:rsidRPr="00131E49">
              <w:t>0.09 (0.01)</w:t>
            </w:r>
          </w:p>
        </w:tc>
        <w:tc>
          <w:tcPr>
            <w:tcW w:w="1134" w:type="dxa"/>
          </w:tcPr>
          <w:p w:rsidR="00F86670" w:rsidRPr="00131E49" w:rsidRDefault="00F86670" w:rsidP="0066195F">
            <w:pPr>
              <w:pStyle w:val="afc"/>
            </w:pPr>
            <w:r w:rsidRPr="00131E49">
              <w:t xml:space="preserve">7.2 </w:t>
            </w:r>
            <w:r w:rsidR="00A15C66">
              <w:t>×</w:t>
            </w:r>
            <w:r w:rsidRPr="00131E49">
              <w:t xml:space="preserve"> 10</w:t>
            </w:r>
            <w:r w:rsidRPr="00131E49">
              <w:rPr>
                <w:vertAlign w:val="superscript"/>
              </w:rPr>
              <w:t>-10</w:t>
            </w:r>
          </w:p>
        </w:tc>
        <w:tc>
          <w:tcPr>
            <w:tcW w:w="1389" w:type="dxa"/>
          </w:tcPr>
          <w:p w:rsidR="00F86670" w:rsidRPr="00131E49" w:rsidRDefault="00F86670" w:rsidP="0066195F">
            <w:pPr>
              <w:pStyle w:val="afc"/>
            </w:pPr>
            <w:r w:rsidRPr="00131E49">
              <w:t>0.35%</w:t>
            </w:r>
          </w:p>
        </w:tc>
      </w:tr>
      <w:tr w:rsidR="00F86670" w:rsidRPr="00131E49" w:rsidTr="00337F2A">
        <w:trPr>
          <w:jc w:val="center"/>
        </w:trPr>
        <w:tc>
          <w:tcPr>
            <w:tcW w:w="988" w:type="dxa"/>
          </w:tcPr>
          <w:p w:rsidR="00F86670" w:rsidRPr="00131E49" w:rsidRDefault="00F86670" w:rsidP="0066195F">
            <w:pPr>
              <w:pStyle w:val="afc"/>
              <w:rPr>
                <w:i/>
              </w:rPr>
            </w:pPr>
            <w:r w:rsidRPr="00131E49">
              <w:rPr>
                <w:i/>
              </w:rPr>
              <w:t>MCM8</w:t>
            </w:r>
          </w:p>
        </w:tc>
        <w:tc>
          <w:tcPr>
            <w:tcW w:w="1275" w:type="dxa"/>
          </w:tcPr>
          <w:p w:rsidR="00F86670" w:rsidRPr="00131E49" w:rsidRDefault="00F86670" w:rsidP="0066195F">
            <w:pPr>
              <w:pStyle w:val="afc"/>
            </w:pPr>
            <w:r w:rsidRPr="00131E49">
              <w:t>rs16991615</w:t>
            </w:r>
          </w:p>
        </w:tc>
        <w:tc>
          <w:tcPr>
            <w:tcW w:w="1418" w:type="dxa"/>
          </w:tcPr>
          <w:p w:rsidR="00F86670" w:rsidRPr="00131E49" w:rsidRDefault="00F86670" w:rsidP="0066195F">
            <w:pPr>
              <w:pStyle w:val="afc"/>
            </w:pPr>
            <w:r w:rsidRPr="00131E49">
              <w:t>20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5948227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A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G</w:t>
            </w:r>
          </w:p>
        </w:tc>
        <w:tc>
          <w:tcPr>
            <w:tcW w:w="850" w:type="dxa"/>
          </w:tcPr>
          <w:p w:rsidR="00F86670" w:rsidRPr="00131E49" w:rsidRDefault="00F86670" w:rsidP="0066195F">
            <w:pPr>
              <w:pStyle w:val="afc"/>
            </w:pPr>
            <w:r w:rsidRPr="00131E49">
              <w:t>0.07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0.99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0.16 (0.03)</w:t>
            </w:r>
          </w:p>
        </w:tc>
        <w:tc>
          <w:tcPr>
            <w:tcW w:w="1134" w:type="dxa"/>
          </w:tcPr>
          <w:p w:rsidR="00F86670" w:rsidRPr="00131E49" w:rsidRDefault="00F86670" w:rsidP="0066195F">
            <w:pPr>
              <w:pStyle w:val="afc"/>
            </w:pPr>
            <w:r w:rsidRPr="00131E49">
              <w:t xml:space="preserve">1.2 </w:t>
            </w:r>
            <w:r w:rsidR="00A15C66">
              <w:t>×</w:t>
            </w:r>
            <w:r w:rsidRPr="00131E49">
              <w:t xml:space="preserve"> 10</w:t>
            </w:r>
            <w:r w:rsidRPr="00131E49">
              <w:rPr>
                <w:vertAlign w:val="superscript"/>
              </w:rPr>
              <w:t>-8</w:t>
            </w:r>
          </w:p>
        </w:tc>
        <w:tc>
          <w:tcPr>
            <w:tcW w:w="1389" w:type="dxa"/>
          </w:tcPr>
          <w:p w:rsidR="00F86670" w:rsidRPr="00131E49" w:rsidRDefault="00F86670" w:rsidP="0066195F">
            <w:pPr>
              <w:pStyle w:val="afc"/>
            </w:pPr>
            <w:r w:rsidRPr="00131E49">
              <w:t>0.30%</w:t>
            </w:r>
          </w:p>
        </w:tc>
      </w:tr>
      <w:tr w:rsidR="00F86670" w:rsidRPr="00131E49" w:rsidTr="00337F2A">
        <w:trPr>
          <w:jc w:val="center"/>
        </w:trPr>
        <w:tc>
          <w:tcPr>
            <w:tcW w:w="988" w:type="dxa"/>
          </w:tcPr>
          <w:p w:rsidR="00F86670" w:rsidRPr="00131E49" w:rsidRDefault="00F86670" w:rsidP="0066195F">
            <w:pPr>
              <w:pStyle w:val="afc"/>
              <w:rPr>
                <w:i/>
              </w:rPr>
            </w:pPr>
            <w:r w:rsidRPr="00131E49">
              <w:rPr>
                <w:i/>
              </w:rPr>
              <w:t>CDCA7</w:t>
            </w:r>
          </w:p>
        </w:tc>
        <w:tc>
          <w:tcPr>
            <w:tcW w:w="1275" w:type="dxa"/>
          </w:tcPr>
          <w:p w:rsidR="00F86670" w:rsidRPr="00131E49" w:rsidRDefault="00F86670" w:rsidP="0066195F">
            <w:pPr>
              <w:pStyle w:val="afc"/>
            </w:pPr>
            <w:r w:rsidRPr="00131E49">
              <w:t>rs11683493</w:t>
            </w:r>
          </w:p>
        </w:tc>
        <w:tc>
          <w:tcPr>
            <w:tcW w:w="1418" w:type="dxa"/>
          </w:tcPr>
          <w:p w:rsidR="00F86670" w:rsidRPr="00131E49" w:rsidRDefault="00F86670" w:rsidP="0066195F">
            <w:pPr>
              <w:pStyle w:val="afc"/>
            </w:pPr>
            <w:r w:rsidRPr="00131E49">
              <w:t>2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174259325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T</w:t>
            </w:r>
          </w:p>
        </w:tc>
        <w:tc>
          <w:tcPr>
            <w:tcW w:w="567" w:type="dxa"/>
          </w:tcPr>
          <w:p w:rsidR="00F86670" w:rsidRPr="00131E49" w:rsidRDefault="00F86670" w:rsidP="0066195F">
            <w:pPr>
              <w:pStyle w:val="afc"/>
            </w:pPr>
            <w:r w:rsidRPr="00131E49">
              <w:t>C</w:t>
            </w:r>
          </w:p>
        </w:tc>
        <w:tc>
          <w:tcPr>
            <w:tcW w:w="850" w:type="dxa"/>
          </w:tcPr>
          <w:p w:rsidR="00F86670" w:rsidRPr="00131E49" w:rsidRDefault="00F86670" w:rsidP="0066195F">
            <w:pPr>
              <w:pStyle w:val="afc"/>
            </w:pPr>
            <w:r w:rsidRPr="00131E49">
              <w:t>0.57</w:t>
            </w:r>
          </w:p>
        </w:tc>
        <w:tc>
          <w:tcPr>
            <w:tcW w:w="1276" w:type="dxa"/>
          </w:tcPr>
          <w:p w:rsidR="00F86670" w:rsidRPr="00131E49" w:rsidRDefault="00F86670" w:rsidP="0066195F">
            <w:pPr>
              <w:pStyle w:val="afc"/>
            </w:pPr>
            <w:r w:rsidRPr="00131E49">
              <w:t>0.97</w:t>
            </w:r>
          </w:p>
        </w:tc>
        <w:tc>
          <w:tcPr>
            <w:tcW w:w="1276" w:type="dxa"/>
          </w:tcPr>
          <w:p w:rsidR="00F86670" w:rsidRPr="00131E49" w:rsidRDefault="00322DFE" w:rsidP="0066195F">
            <w:pPr>
              <w:pStyle w:val="afc"/>
            </w:pPr>
            <w:r>
              <w:t>–</w:t>
            </w:r>
            <w:r w:rsidR="00F86670" w:rsidRPr="00131E49">
              <w:t>0.08 (0.01)</w:t>
            </w:r>
          </w:p>
        </w:tc>
        <w:tc>
          <w:tcPr>
            <w:tcW w:w="1134" w:type="dxa"/>
          </w:tcPr>
          <w:p w:rsidR="00F86670" w:rsidRPr="00131E49" w:rsidRDefault="00F86670" w:rsidP="0066195F">
            <w:pPr>
              <w:pStyle w:val="afc"/>
            </w:pPr>
            <w:r w:rsidRPr="00131E49">
              <w:t xml:space="preserve">1.7 </w:t>
            </w:r>
            <w:r w:rsidR="00A15C66">
              <w:t>×</w:t>
            </w:r>
            <w:r w:rsidRPr="00131E49">
              <w:t xml:space="preserve"> 10</w:t>
            </w:r>
            <w:r w:rsidRPr="00131E49">
              <w:rPr>
                <w:vertAlign w:val="superscript"/>
              </w:rPr>
              <w:t>-8</w:t>
            </w:r>
          </w:p>
        </w:tc>
        <w:tc>
          <w:tcPr>
            <w:tcW w:w="1389" w:type="dxa"/>
          </w:tcPr>
          <w:p w:rsidR="00F86670" w:rsidRPr="00131E49" w:rsidRDefault="00F86670" w:rsidP="0066195F">
            <w:pPr>
              <w:pStyle w:val="afc"/>
            </w:pPr>
            <w:r w:rsidRPr="00131E49">
              <w:t>0.32%</w:t>
            </w:r>
          </w:p>
        </w:tc>
      </w:tr>
    </w:tbl>
    <w:p w:rsidR="003D27DC" w:rsidRPr="00131E49" w:rsidRDefault="003D27DC" w:rsidP="0066195F">
      <w:pPr>
        <w:pStyle w:val="ac"/>
      </w:pPr>
      <w:r w:rsidRPr="00131E49">
        <w:t xml:space="preserve">Reproduced with permission from </w:t>
      </w:r>
      <w:r w:rsidR="000701F8">
        <w:t>[</w:t>
      </w:r>
      <w:r w:rsidRPr="00131E49">
        <w:t>10</w:t>
      </w:r>
      <w:r w:rsidR="000701F8">
        <w:t>].</w:t>
      </w:r>
    </w:p>
    <w:p w:rsidR="008D6406" w:rsidRPr="00131E49" w:rsidRDefault="00F86670" w:rsidP="0066195F">
      <w:pPr>
        <w:pStyle w:val="ac"/>
        <w:rPr>
          <w:highlight w:val="yellow"/>
        </w:rPr>
      </w:pPr>
      <w:r w:rsidRPr="00131E49">
        <w:t>AMH, anti-Müllerian hormone; SNP, single nucleotide polymorphism; EA, effect allele; OA</w:t>
      </w:r>
      <w:r w:rsidR="000701F8">
        <w:t>,</w:t>
      </w:r>
      <w:r w:rsidRPr="00131E49">
        <w:t xml:space="preserve"> other allele; EAF, effect allele frequency; SE, standard error.</w:t>
      </w:r>
      <w:r w:rsidRPr="00131E49">
        <w:br/>
      </w:r>
    </w:p>
    <w:sectPr w:rsidR="008D6406" w:rsidRPr="00131E49" w:rsidSect="00F866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F7" w:rsidRDefault="002E4EF7" w:rsidP="00322DFE">
      <w:pPr>
        <w:ind w:firstLine="420"/>
      </w:pPr>
      <w:r>
        <w:separator/>
      </w:r>
    </w:p>
  </w:endnote>
  <w:endnote w:type="continuationSeparator" w:id="0">
    <w:p w:rsidR="002E4EF7" w:rsidRDefault="002E4EF7" w:rsidP="00322DF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F7" w:rsidRDefault="002E4EF7" w:rsidP="00322DFE">
      <w:pPr>
        <w:ind w:firstLine="420"/>
      </w:pPr>
      <w:r>
        <w:separator/>
      </w:r>
    </w:p>
  </w:footnote>
  <w:footnote w:type="continuationSeparator" w:id="0">
    <w:p w:rsidR="002E4EF7" w:rsidRDefault="002E4EF7" w:rsidP="00322DFE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62A26B62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70"/>
    <w:rsid w:val="00062DD2"/>
    <w:rsid w:val="000701F8"/>
    <w:rsid w:val="00131E49"/>
    <w:rsid w:val="002E4EF7"/>
    <w:rsid w:val="00322DFE"/>
    <w:rsid w:val="00337F2A"/>
    <w:rsid w:val="003D27DC"/>
    <w:rsid w:val="003F2CDA"/>
    <w:rsid w:val="00565E43"/>
    <w:rsid w:val="0066195F"/>
    <w:rsid w:val="006F142D"/>
    <w:rsid w:val="008D6406"/>
    <w:rsid w:val="00A15C66"/>
    <w:rsid w:val="00BB7277"/>
    <w:rsid w:val="00D031CA"/>
    <w:rsid w:val="00F8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7ABC23-B43A-47B9-AB6C-7BCB569A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C66"/>
    <w:pPr>
      <w:widowControl w:val="0"/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A15C66"/>
    <w:pPr>
      <w:autoSpaceDE w:val="0"/>
      <w:autoSpaceDN w:val="0"/>
      <w:adjustRightInd w:val="0"/>
      <w:spacing w:beforeLines="100" w:before="312" w:afterLines="100" w:after="312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A15C66"/>
    <w:pPr>
      <w:keepNext/>
      <w:keepLines/>
      <w:spacing w:beforeLines="50" w:before="156" w:afterLines="50" w:after="156"/>
      <w:ind w:left="578" w:firstLineChars="0" w:hanging="578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A15C66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15C66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5C66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5C66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5C66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5C66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406"/>
    <w:pPr>
      <w:spacing w:after="0" w:line="240" w:lineRule="auto"/>
    </w:pPr>
  </w:style>
  <w:style w:type="table" w:styleId="a4">
    <w:name w:val="Table Grid"/>
    <w:basedOn w:val="a1"/>
    <w:uiPriority w:val="59"/>
    <w:rsid w:val="00F86670"/>
    <w:pPr>
      <w:spacing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A15C66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A15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A15C66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8">
    <w:name w:val="footer"/>
    <w:basedOn w:val="a"/>
    <w:link w:val="a9"/>
    <w:uiPriority w:val="99"/>
    <w:unhideWhenUsed/>
    <w:rsid w:val="00A15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A15C66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customStyle="1" w:styleId="Abstract">
    <w:name w:val="Abstract"/>
    <w:basedOn w:val="a"/>
    <w:autoRedefine/>
    <w:qFormat/>
    <w:rsid w:val="00A15C66"/>
    <w:pPr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a"/>
    <w:autoRedefine/>
    <w:qFormat/>
    <w:rsid w:val="00A15C66"/>
    <w:pPr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a"/>
    <w:link w:val="References0"/>
    <w:autoRedefine/>
    <w:qFormat/>
    <w:rsid w:val="00A15C66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rsid w:val="00A15C66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TableParagraph">
    <w:name w:val="Table Paragraph"/>
    <w:basedOn w:val="a"/>
    <w:uiPriority w:val="1"/>
    <w:qFormat/>
    <w:rsid w:val="00A15C66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a">
    <w:name w:val="版权信息"/>
    <w:basedOn w:val="a"/>
    <w:autoRedefine/>
    <w:qFormat/>
    <w:rsid w:val="00A15C66"/>
    <w:pPr>
      <w:ind w:firstLineChars="0" w:firstLine="0"/>
    </w:pPr>
  </w:style>
  <w:style w:type="character" w:customStyle="1" w:styleId="10">
    <w:name w:val="标题 1 字符"/>
    <w:aliases w:val="一级标题 字符"/>
    <w:link w:val="1"/>
    <w:uiPriority w:val="1"/>
    <w:rsid w:val="00A15C66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A15C66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A15C66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A15C66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60">
    <w:name w:val="标题 6 字符"/>
    <w:basedOn w:val="a0"/>
    <w:link w:val="6"/>
    <w:uiPriority w:val="9"/>
    <w:semiHidden/>
    <w:rsid w:val="00A15C66"/>
    <w:rPr>
      <w:rFonts w:asciiTheme="majorHAnsi" w:eastAsiaTheme="majorEastAsia" w:hAnsiTheme="majorHAnsi" w:cstheme="majorBidi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basedOn w:val="a0"/>
    <w:link w:val="7"/>
    <w:uiPriority w:val="9"/>
    <w:semiHidden/>
    <w:rsid w:val="00A15C66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basedOn w:val="a0"/>
    <w:link w:val="8"/>
    <w:uiPriority w:val="9"/>
    <w:semiHidden/>
    <w:rsid w:val="00A15C66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character" w:customStyle="1" w:styleId="90">
    <w:name w:val="标题 9 字符"/>
    <w:basedOn w:val="a0"/>
    <w:link w:val="9"/>
    <w:uiPriority w:val="9"/>
    <w:semiHidden/>
    <w:rsid w:val="00A15C66"/>
    <w:rPr>
      <w:rFonts w:asciiTheme="majorHAnsi" w:eastAsiaTheme="majorEastAsia" w:hAnsiTheme="majorHAnsi" w:cstheme="majorBidi"/>
      <w:kern w:val="2"/>
      <w:sz w:val="21"/>
      <w:szCs w:val="21"/>
      <w:lang w:val="en-US" w:eastAsia="zh-CN"/>
    </w:rPr>
  </w:style>
  <w:style w:type="paragraph" w:customStyle="1" w:styleId="ab">
    <w:name w:val="表题"/>
    <w:basedOn w:val="a"/>
    <w:autoRedefine/>
    <w:qFormat/>
    <w:rsid w:val="00A15C66"/>
    <w:pPr>
      <w:spacing w:beforeLines="100" w:before="100" w:afterLines="100" w:after="100" w:line="360" w:lineRule="auto"/>
      <w:ind w:leftChars="200" w:left="200" w:firstLineChars="0" w:firstLine="0"/>
      <w:jc w:val="center"/>
    </w:pPr>
    <w:rPr>
      <w:b/>
    </w:rPr>
  </w:style>
  <w:style w:type="paragraph" w:customStyle="1" w:styleId="ac">
    <w:name w:val="表注"/>
    <w:basedOn w:val="a"/>
    <w:autoRedefine/>
    <w:qFormat/>
    <w:rsid w:val="00A15C66"/>
    <w:pPr>
      <w:snapToGrid w:val="0"/>
      <w:ind w:firstLineChars="0" w:firstLine="0"/>
    </w:pPr>
  </w:style>
  <w:style w:type="paragraph" w:customStyle="1" w:styleId="ad">
    <w:name w:val="参考文献"/>
    <w:basedOn w:val="a"/>
    <w:autoRedefine/>
    <w:qFormat/>
    <w:rsid w:val="00A15C66"/>
    <w:pPr>
      <w:ind w:left="360" w:hangingChars="200" w:hanging="360"/>
    </w:pPr>
    <w:rPr>
      <w:rFonts w:eastAsiaTheme="minorEastAsia" w:cstheme="minorBidi"/>
      <w:sz w:val="18"/>
      <w:szCs w:val="24"/>
    </w:rPr>
  </w:style>
  <w:style w:type="paragraph" w:customStyle="1" w:styleId="ae">
    <w:name w:val="稿件类型"/>
    <w:basedOn w:val="a"/>
    <w:autoRedefine/>
    <w:qFormat/>
    <w:rsid w:val="00A15C66"/>
    <w:pPr>
      <w:ind w:firstLineChars="0" w:firstLine="0"/>
      <w:jc w:val="left"/>
    </w:pPr>
    <w:rPr>
      <w:rFonts w:eastAsia="宋体" w:cstheme="minorBidi"/>
      <w:sz w:val="20"/>
    </w:rPr>
  </w:style>
  <w:style w:type="paragraph" w:customStyle="1" w:styleId="af">
    <w:name w:val="关键词"/>
    <w:basedOn w:val="Keywords"/>
    <w:autoRedefine/>
    <w:qFormat/>
    <w:rsid w:val="00A15C66"/>
    <w:rPr>
      <w:rFonts w:eastAsia="Times New Roman"/>
      <w:b w:val="0"/>
    </w:rPr>
  </w:style>
  <w:style w:type="character" w:styleId="af0">
    <w:name w:val="line number"/>
    <w:uiPriority w:val="99"/>
    <w:semiHidden/>
    <w:unhideWhenUsed/>
    <w:rsid w:val="00A15C66"/>
  </w:style>
  <w:style w:type="paragraph" w:customStyle="1" w:styleId="af1">
    <w:name w:val="机构信息"/>
    <w:basedOn w:val="a"/>
    <w:link w:val="af2"/>
    <w:autoRedefine/>
    <w:qFormat/>
    <w:rsid w:val="00A15C66"/>
    <w:pPr>
      <w:ind w:firstLineChars="0" w:firstLine="0"/>
    </w:pPr>
    <w:rPr>
      <w:rFonts w:cstheme="minorBidi"/>
      <w:i/>
    </w:rPr>
  </w:style>
  <w:style w:type="character" w:customStyle="1" w:styleId="af2">
    <w:name w:val="机构信息 字符"/>
    <w:link w:val="af1"/>
    <w:rsid w:val="00A15C66"/>
    <w:rPr>
      <w:rFonts w:ascii="Times New Roman" w:eastAsia="Times New Roman" w:hAnsi="Times New Roman"/>
      <w:i/>
      <w:kern w:val="2"/>
      <w:sz w:val="21"/>
      <w:szCs w:val="21"/>
      <w:lang w:val="en-US" w:eastAsia="zh-CN"/>
    </w:rPr>
  </w:style>
  <w:style w:type="paragraph" w:customStyle="1" w:styleId="af3">
    <w:name w:val="接收日期"/>
    <w:basedOn w:val="a"/>
    <w:autoRedefine/>
    <w:qFormat/>
    <w:rsid w:val="00A15C66"/>
    <w:pPr>
      <w:ind w:firstLineChars="0" w:firstLine="0"/>
    </w:pPr>
  </w:style>
  <w:style w:type="paragraph" w:styleId="af4">
    <w:name w:val="List Paragraph"/>
    <w:basedOn w:val="a"/>
    <w:uiPriority w:val="1"/>
    <w:qFormat/>
    <w:rsid w:val="00A15C66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A15C66"/>
    <w:rPr>
      <w:sz w:val="18"/>
      <w:szCs w:val="18"/>
    </w:rPr>
  </w:style>
  <w:style w:type="character" w:customStyle="1" w:styleId="af6">
    <w:name w:val="批注框文本 字符"/>
    <w:basedOn w:val="a0"/>
    <w:link w:val="af5"/>
    <w:uiPriority w:val="99"/>
    <w:semiHidden/>
    <w:rsid w:val="00A15C66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f7">
    <w:name w:val="caption"/>
    <w:basedOn w:val="a"/>
    <w:next w:val="a"/>
    <w:autoRedefine/>
    <w:uiPriority w:val="35"/>
    <w:unhideWhenUsed/>
    <w:qFormat/>
    <w:rsid w:val="00A15C66"/>
    <w:pPr>
      <w:ind w:firstLineChars="0" w:firstLine="0"/>
    </w:pPr>
  </w:style>
  <w:style w:type="paragraph" w:customStyle="1" w:styleId="af8">
    <w:name w:val="通讯作者"/>
    <w:basedOn w:val="a"/>
    <w:autoRedefine/>
    <w:qFormat/>
    <w:rsid w:val="00A15C66"/>
    <w:pPr>
      <w:ind w:firstLineChars="0" w:firstLine="0"/>
    </w:pPr>
  </w:style>
  <w:style w:type="paragraph" w:customStyle="1" w:styleId="af9">
    <w:name w:val="图注"/>
    <w:basedOn w:val="a"/>
    <w:autoRedefine/>
    <w:qFormat/>
    <w:rsid w:val="00A15C66"/>
    <w:pPr>
      <w:ind w:firstLineChars="0" w:firstLine="0"/>
    </w:pPr>
  </w:style>
  <w:style w:type="table" w:customStyle="1" w:styleId="5-11">
    <w:name w:val="网格表 5 深色 - 着色 11"/>
    <w:basedOn w:val="a1"/>
    <w:uiPriority w:val="50"/>
    <w:qFormat/>
    <w:rsid w:val="00A15C66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A15C66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A15C66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afa">
    <w:name w:val="文章标题"/>
    <w:basedOn w:val="a"/>
    <w:link w:val="afb"/>
    <w:autoRedefine/>
    <w:qFormat/>
    <w:rsid w:val="00A15C66"/>
    <w:pPr>
      <w:kinsoku w:val="0"/>
      <w:overflowPunct w:val="0"/>
      <w:autoSpaceDE w:val="0"/>
      <w:autoSpaceDN w:val="0"/>
      <w:adjustRightInd w:val="0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fb">
    <w:name w:val="文章标题 字符"/>
    <w:link w:val="afa"/>
    <w:rsid w:val="00A15C66"/>
    <w:rPr>
      <w:rFonts w:ascii="Times New Roman" w:eastAsia="Times New Roman" w:hAnsi="Times New Roman"/>
      <w:b/>
      <w:bCs/>
      <w:spacing w:val="-8"/>
      <w:kern w:val="2"/>
      <w:sz w:val="36"/>
      <w:szCs w:val="36"/>
      <w:lang w:val="en-US" w:eastAsia="zh-CN"/>
    </w:rPr>
  </w:style>
  <w:style w:type="numbering" w:customStyle="1" w:styleId="11">
    <w:name w:val="无列表1"/>
    <w:next w:val="a2"/>
    <w:uiPriority w:val="99"/>
    <w:semiHidden/>
    <w:unhideWhenUsed/>
    <w:rsid w:val="00A15C66"/>
  </w:style>
  <w:style w:type="paragraph" w:customStyle="1" w:styleId="afc">
    <w:name w:val="摘要"/>
    <w:basedOn w:val="Abstract"/>
    <w:autoRedefine/>
    <w:qFormat/>
    <w:rsid w:val="00A15C66"/>
    <w:rPr>
      <w:b w:val="0"/>
      <w:sz w:val="21"/>
      <w:szCs w:val="21"/>
    </w:rPr>
  </w:style>
  <w:style w:type="paragraph" w:styleId="afd">
    <w:name w:val="Body Text"/>
    <w:basedOn w:val="a"/>
    <w:link w:val="afe"/>
    <w:autoRedefine/>
    <w:uiPriority w:val="1"/>
    <w:qFormat/>
    <w:rsid w:val="00A15C66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e">
    <w:name w:val="正文文本 字符"/>
    <w:link w:val="afd"/>
    <w:uiPriority w:val="1"/>
    <w:rsid w:val="00A15C66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customStyle="1" w:styleId="aff">
    <w:name w:val="致谢部分"/>
    <w:basedOn w:val="afd"/>
    <w:link w:val="aff0"/>
    <w:autoRedefine/>
    <w:qFormat/>
    <w:rsid w:val="00A15C66"/>
    <w:pPr>
      <w:ind w:firstLineChars="0" w:firstLine="0"/>
    </w:pPr>
    <w:rPr>
      <w:b/>
      <w:sz w:val="24"/>
      <w:szCs w:val="24"/>
    </w:rPr>
  </w:style>
  <w:style w:type="character" w:customStyle="1" w:styleId="aff0">
    <w:name w:val="致谢部分 字符"/>
    <w:basedOn w:val="afe"/>
    <w:link w:val="aff"/>
    <w:rsid w:val="00A15C66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aff1">
    <w:name w:val="作者信息"/>
    <w:basedOn w:val="a"/>
    <w:autoRedefine/>
    <w:qFormat/>
    <w:rsid w:val="00A15C66"/>
    <w:pPr>
      <w:ind w:firstLineChars="0" w:firstLine="0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80F0-87E4-44A4-836B-EB40C98C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Verdiesen-2, R.M.G.</dc:creator>
  <cp:keywords/>
  <dc:description/>
  <cp:lastModifiedBy>Rui</cp:lastModifiedBy>
  <cp:revision>6</cp:revision>
  <dcterms:created xsi:type="dcterms:W3CDTF">2022-03-18T11:00:00Z</dcterms:created>
  <dcterms:modified xsi:type="dcterms:W3CDTF">2022-06-30T00:49:00Z</dcterms:modified>
</cp:coreProperties>
</file>